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51C478D0"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49D3EDA5" w14:textId="77777777" w:rsidR="004143C3" w:rsidRPr="004143C3" w:rsidRDefault="004143C3" w:rsidP="004143C3">
            <w:pPr>
              <w:jc w:val="center"/>
              <w:rPr>
                <w:sz w:val="16"/>
                <w:szCs w:val="16"/>
              </w:rPr>
            </w:pPr>
            <w:bookmarkStart w:id="0" w:name="_GoBack"/>
            <w:bookmarkEnd w:id="0"/>
          </w:p>
          <w:p w14:paraId="6250A270" w14:textId="77777777" w:rsidR="004143C3" w:rsidRDefault="004143C3" w:rsidP="004143C3">
            <w:pPr>
              <w:jc w:val="center"/>
            </w:pPr>
          </w:p>
          <w:p w14:paraId="4A74982D" w14:textId="77777777" w:rsidR="004143C3" w:rsidRDefault="004143C3" w:rsidP="004143C3">
            <w:pPr>
              <w:jc w:val="center"/>
            </w:pPr>
            <w:r>
              <w:rPr>
                <w:noProof/>
              </w:rPr>
              <w:drawing>
                <wp:inline distT="0" distB="0" distL="0" distR="0" wp14:anchorId="2D02DC5D" wp14:editId="61CCACDB">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75FEC8FE" w14:textId="77777777" w:rsidR="004143C3" w:rsidRDefault="004143C3" w:rsidP="004143C3">
            <w:pPr>
              <w:jc w:val="center"/>
            </w:pPr>
          </w:p>
          <w:p w14:paraId="4A719F86" w14:textId="77777777" w:rsidR="004143C3" w:rsidRDefault="004143C3" w:rsidP="004143C3">
            <w:pPr>
              <w:jc w:val="center"/>
            </w:pPr>
          </w:p>
        </w:tc>
        <w:tc>
          <w:tcPr>
            <w:tcW w:w="7194" w:type="dxa"/>
          </w:tcPr>
          <w:p w14:paraId="0401BD36" w14:textId="6345D4BE" w:rsidR="004143C3" w:rsidRPr="008B0AEE" w:rsidRDefault="00DC5F1B"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Office of Financial Aid &amp; Scholarships</w:t>
            </w:r>
          </w:p>
        </w:tc>
      </w:tr>
      <w:tr w:rsidR="004143C3" w14:paraId="26F78655"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795BA63D" w14:textId="77777777" w:rsidR="004143C3" w:rsidRDefault="004143C3"/>
        </w:tc>
        <w:tc>
          <w:tcPr>
            <w:tcW w:w="7194" w:type="dxa"/>
          </w:tcPr>
          <w:p w14:paraId="4C057AD4"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945FCD9"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5D01BE89"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00E92853" w14:textId="77777777" w:rsidR="004143C3" w:rsidRDefault="004143C3"/>
    <w:p w14:paraId="0BBCA989" w14:textId="5EBB6810" w:rsidR="007E4788" w:rsidRDefault="004D4A26" w:rsidP="004D4A26">
      <w:pPr>
        <w:pStyle w:val="Heading1"/>
      </w:pPr>
      <w:r w:rsidRPr="00DC5F1B">
        <w:rPr>
          <w:b/>
        </w:rPr>
        <w:t>Project (Assessment) Title</w:t>
      </w:r>
      <w:r w:rsidR="00D35FB5" w:rsidRPr="00DC5F1B">
        <w:rPr>
          <w:b/>
        </w:rPr>
        <w:t>:</w:t>
      </w:r>
      <w:r w:rsidR="00D35FB5">
        <w:t xml:space="preserve">  Office of Financial Aid </w:t>
      </w:r>
      <w:r w:rsidR="00DC5F1B">
        <w:t>&amp;</w:t>
      </w:r>
      <w:r w:rsidR="00D35FB5">
        <w:t xml:space="preserve"> Scholarships Assessment of Need-Based Tuition Waivers for Middle-Income Students Who Do Not Qualify for a Pell Grant</w:t>
      </w:r>
    </w:p>
    <w:p w14:paraId="5FC094C8" w14:textId="77777777" w:rsidR="004D4A26" w:rsidRPr="004D4A26" w:rsidRDefault="004D4A26" w:rsidP="004D4A26"/>
    <w:p w14:paraId="7A18A1D8" w14:textId="29B5C811" w:rsidR="004D4A26" w:rsidRDefault="004D4A26" w:rsidP="004D4A26">
      <w:pPr>
        <w:pStyle w:val="Heading1"/>
      </w:pPr>
      <w:r w:rsidRPr="00DC5F1B">
        <w:rPr>
          <w:b/>
        </w:rPr>
        <w:t>College-wide Strategic Goal</w:t>
      </w:r>
      <w:r w:rsidR="002F07DC" w:rsidRPr="00DC5F1B">
        <w:rPr>
          <w:b/>
        </w:rPr>
        <w:t>:</w:t>
      </w:r>
      <w:r w:rsidR="002F07DC">
        <w:t xml:space="preserve">  Increase student completion and retention.</w:t>
      </w:r>
    </w:p>
    <w:p w14:paraId="1E05D441" w14:textId="77777777" w:rsidR="00DD6188" w:rsidRDefault="00DD6188" w:rsidP="00DD6188"/>
    <w:p w14:paraId="60AC93F5" w14:textId="400511A2" w:rsidR="00DD6188" w:rsidRPr="00DD6188" w:rsidRDefault="00DD6188" w:rsidP="00DD6188">
      <w:pPr>
        <w:pStyle w:val="Heading1"/>
      </w:pPr>
      <w:r w:rsidRPr="00DC5F1B">
        <w:rPr>
          <w:b/>
        </w:rPr>
        <w:t>Assessment Overview</w:t>
      </w:r>
      <w:r w:rsidR="00986D52" w:rsidRPr="00DC5F1B">
        <w:rPr>
          <w:b/>
        </w:rPr>
        <w:t>:</w:t>
      </w:r>
      <w:r w:rsidR="00986D52">
        <w:t xml:space="preserve">  The Office of Financial Aid &amp; Scholarships awards many different types of tuition waivers. This past year authorization was received to award tuition waivers to students who are considered middle income </w:t>
      </w:r>
      <w:r w:rsidR="00DC5F1B">
        <w:t xml:space="preserve">and </w:t>
      </w:r>
      <w:r w:rsidR="00986D52">
        <w:t>do not qualify for a Pell Grant. The funds were divided in to two groups: one group would be required to fill out an application and indicate why they needed the money ($500,000); the other group would be based on students who applied for a Pell Grant but did not qualify ($500,000).</w:t>
      </w:r>
    </w:p>
    <w:p w14:paraId="57B50FBE" w14:textId="77777777" w:rsidR="004D4A26" w:rsidRPr="004D4A26" w:rsidRDefault="004D4A26" w:rsidP="004D4A26"/>
    <w:p w14:paraId="623A4988" w14:textId="6CA9E7B0" w:rsidR="00986D52" w:rsidRPr="00986D52" w:rsidRDefault="004D4A26" w:rsidP="00986D52">
      <w:pPr>
        <w:pStyle w:val="Heading1"/>
      </w:pPr>
      <w:r w:rsidRPr="00DC5F1B">
        <w:rPr>
          <w:b/>
        </w:rPr>
        <w:t>Methodology (Plan/Method)</w:t>
      </w:r>
      <w:r w:rsidR="00986D52" w:rsidRPr="00DC5F1B">
        <w:rPr>
          <w:b/>
        </w:rPr>
        <w:t>:</w:t>
      </w:r>
      <w:r w:rsidR="00986D52">
        <w:t xml:space="preserve">  The students would be randomly selected for the tuition waiver. We would then review the students after the end of Spring 2020 to determine if the waiver increased retention and success.</w:t>
      </w:r>
    </w:p>
    <w:p w14:paraId="59CB9096" w14:textId="77777777" w:rsidR="004D4A26" w:rsidRPr="004D4A26" w:rsidRDefault="004D4A26" w:rsidP="004D4A26"/>
    <w:p w14:paraId="7176C380" w14:textId="13FAEB17" w:rsidR="004D4A26" w:rsidRDefault="004D4A26" w:rsidP="004D4A26">
      <w:pPr>
        <w:pStyle w:val="Heading1"/>
      </w:pPr>
      <w:r w:rsidRPr="00DC5F1B">
        <w:rPr>
          <w:b/>
          <w:color w:val="1F3864" w:themeColor="accent1" w:themeShade="80"/>
        </w:rPr>
        <w:t>Timeline</w:t>
      </w:r>
      <w:r w:rsidR="00986D52" w:rsidRPr="00DC5F1B">
        <w:rPr>
          <w:b/>
        </w:rPr>
        <w:t>:</w:t>
      </w:r>
      <w:r w:rsidR="00986D52">
        <w:t xml:space="preserve">  Complete after grades are posted for Spring Semester 2020.</w:t>
      </w:r>
    </w:p>
    <w:p w14:paraId="7436ECC0" w14:textId="77777777" w:rsidR="00B62AE4" w:rsidRDefault="00B62AE4" w:rsidP="00B62AE4"/>
    <w:p w14:paraId="7A256746" w14:textId="50A04F0B" w:rsidR="00B62AE4" w:rsidRPr="00DC5F1B" w:rsidRDefault="00B62AE4" w:rsidP="00DC5F1B">
      <w:pPr>
        <w:pStyle w:val="Heading1"/>
        <w:spacing w:after="120"/>
        <w:rPr>
          <w:b/>
        </w:rPr>
      </w:pPr>
      <w:r w:rsidRPr="00DC5F1B">
        <w:rPr>
          <w:b/>
        </w:rPr>
        <w:t>Results/Findings</w:t>
      </w:r>
      <w:r w:rsidR="0071668D" w:rsidRPr="00DC5F1B">
        <w:rPr>
          <w:b/>
        </w:rPr>
        <w:t>:</w:t>
      </w:r>
    </w:p>
    <w:p w14:paraId="4878CE11" w14:textId="07CDED8A"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Number of Students Attending Fall 2019</w:t>
      </w:r>
      <w:r w:rsidR="00DC5F1B">
        <w:rPr>
          <w:rFonts w:asciiTheme="majorHAnsi" w:hAnsiTheme="majorHAnsi" w:cstheme="majorHAnsi"/>
          <w:color w:val="2F5496" w:themeColor="accent1" w:themeShade="BF"/>
          <w:sz w:val="32"/>
          <w:szCs w:val="32"/>
        </w:rPr>
        <w:t>:</w:t>
      </w:r>
      <w:r w:rsidRPr="0071668D">
        <w:rPr>
          <w:rFonts w:asciiTheme="majorHAnsi" w:hAnsiTheme="majorHAnsi" w:cstheme="majorHAnsi"/>
          <w:color w:val="2F5496" w:themeColor="accent1" w:themeShade="BF"/>
          <w:sz w:val="32"/>
          <w:szCs w:val="32"/>
        </w:rPr>
        <w:tab/>
      </w:r>
      <w:r w:rsidRPr="0071668D">
        <w:rPr>
          <w:rFonts w:asciiTheme="majorHAnsi" w:hAnsiTheme="majorHAnsi" w:cstheme="majorHAnsi"/>
          <w:color w:val="2F5496" w:themeColor="accent1" w:themeShade="BF"/>
          <w:sz w:val="32"/>
          <w:szCs w:val="32"/>
        </w:rPr>
        <w:tab/>
        <w:t>275</w:t>
      </w:r>
    </w:p>
    <w:p w14:paraId="5D864E72" w14:textId="021E71D9"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Number of Students Attending Spring 2020</w:t>
      </w:r>
      <w:r w:rsidR="00DC5F1B">
        <w:rPr>
          <w:rFonts w:asciiTheme="majorHAnsi" w:hAnsiTheme="majorHAnsi" w:cstheme="majorHAnsi"/>
          <w:color w:val="2F5496" w:themeColor="accent1" w:themeShade="BF"/>
          <w:sz w:val="32"/>
          <w:szCs w:val="32"/>
        </w:rPr>
        <w:t>:</w:t>
      </w:r>
      <w:r w:rsidRPr="0071668D">
        <w:rPr>
          <w:rFonts w:asciiTheme="majorHAnsi" w:hAnsiTheme="majorHAnsi" w:cstheme="majorHAnsi"/>
          <w:color w:val="2F5496" w:themeColor="accent1" w:themeShade="BF"/>
          <w:sz w:val="32"/>
          <w:szCs w:val="32"/>
        </w:rPr>
        <w:tab/>
      </w:r>
      <w:r w:rsidRPr="0071668D">
        <w:rPr>
          <w:rFonts w:asciiTheme="majorHAnsi" w:hAnsiTheme="majorHAnsi" w:cstheme="majorHAnsi"/>
          <w:color w:val="2F5496" w:themeColor="accent1" w:themeShade="BF"/>
          <w:sz w:val="32"/>
          <w:szCs w:val="32"/>
        </w:rPr>
        <w:tab/>
        <w:t>202</w:t>
      </w:r>
    </w:p>
    <w:p w14:paraId="03544BAD" w14:textId="77777777" w:rsidR="003F69F0" w:rsidRPr="0071668D" w:rsidRDefault="003F69F0" w:rsidP="003F69F0">
      <w:pPr>
        <w:spacing w:after="120"/>
        <w:rPr>
          <w:rFonts w:asciiTheme="majorHAnsi" w:hAnsiTheme="majorHAnsi" w:cstheme="majorHAnsi"/>
          <w:color w:val="2F5496" w:themeColor="accent1" w:themeShade="BF"/>
          <w:sz w:val="32"/>
          <w:szCs w:val="32"/>
        </w:rPr>
      </w:pPr>
    </w:p>
    <w:p w14:paraId="02D3B4CB" w14:textId="77777777" w:rsidR="003F69F0" w:rsidRPr="0071668D" w:rsidRDefault="003F69F0" w:rsidP="008071B2">
      <w:pPr>
        <w:spacing w:after="0"/>
        <w:rPr>
          <w:rFonts w:asciiTheme="majorHAnsi" w:hAnsiTheme="majorHAnsi" w:cstheme="majorHAnsi"/>
          <w:color w:val="2F5496" w:themeColor="accent1" w:themeShade="BF"/>
          <w:sz w:val="32"/>
          <w:szCs w:val="32"/>
        </w:rPr>
      </w:pPr>
    </w:p>
    <w:p w14:paraId="047C5751" w14:textId="0ECB8D7E" w:rsidR="003F69F0" w:rsidRPr="00DC5F1B" w:rsidRDefault="003F69F0" w:rsidP="003F69F0">
      <w:pPr>
        <w:spacing w:after="120"/>
        <w:rPr>
          <w:rFonts w:asciiTheme="majorHAnsi" w:hAnsiTheme="majorHAnsi" w:cstheme="majorHAnsi"/>
          <w:b/>
          <w:color w:val="2F5496" w:themeColor="accent1" w:themeShade="BF"/>
          <w:sz w:val="32"/>
          <w:szCs w:val="32"/>
        </w:rPr>
      </w:pPr>
      <w:r w:rsidRPr="00DC5F1B">
        <w:rPr>
          <w:rFonts w:asciiTheme="majorHAnsi" w:hAnsiTheme="majorHAnsi" w:cstheme="majorHAnsi"/>
          <w:b/>
          <w:color w:val="2F5496" w:themeColor="accent1" w:themeShade="BF"/>
          <w:sz w:val="32"/>
          <w:szCs w:val="32"/>
        </w:rPr>
        <w:t>GPA of Students After Spring 2020</w:t>
      </w:r>
    </w:p>
    <w:p w14:paraId="312E611E" w14:textId="7777777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4.00</w:t>
      </w:r>
      <w:r w:rsidRPr="0071668D">
        <w:rPr>
          <w:rFonts w:asciiTheme="majorHAnsi" w:hAnsiTheme="majorHAnsi" w:cstheme="majorHAnsi"/>
          <w:color w:val="2F5496" w:themeColor="accent1" w:themeShade="BF"/>
          <w:sz w:val="32"/>
          <w:szCs w:val="32"/>
        </w:rPr>
        <w:tab/>
      </w:r>
      <w:r w:rsidRPr="0071668D">
        <w:rPr>
          <w:rFonts w:asciiTheme="majorHAnsi" w:hAnsiTheme="majorHAnsi" w:cstheme="majorHAnsi"/>
          <w:color w:val="2F5496" w:themeColor="accent1" w:themeShade="BF"/>
          <w:sz w:val="32"/>
          <w:szCs w:val="32"/>
        </w:rPr>
        <w:tab/>
        <w:t>46</w:t>
      </w:r>
    </w:p>
    <w:p w14:paraId="5B50998F" w14:textId="7777777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3.99-3.00</w:t>
      </w:r>
      <w:r w:rsidRPr="0071668D">
        <w:rPr>
          <w:rFonts w:asciiTheme="majorHAnsi" w:hAnsiTheme="majorHAnsi" w:cstheme="majorHAnsi"/>
          <w:color w:val="2F5496" w:themeColor="accent1" w:themeShade="BF"/>
          <w:sz w:val="32"/>
          <w:szCs w:val="32"/>
        </w:rPr>
        <w:tab/>
        <w:t>102</w:t>
      </w:r>
    </w:p>
    <w:p w14:paraId="3E1FDEBD" w14:textId="7777777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2.99-2.00</w:t>
      </w:r>
      <w:r w:rsidRPr="0071668D">
        <w:rPr>
          <w:rFonts w:asciiTheme="majorHAnsi" w:hAnsiTheme="majorHAnsi" w:cstheme="majorHAnsi"/>
          <w:color w:val="2F5496" w:themeColor="accent1" w:themeShade="BF"/>
          <w:sz w:val="32"/>
          <w:szCs w:val="32"/>
        </w:rPr>
        <w:tab/>
        <w:t>28</w:t>
      </w:r>
    </w:p>
    <w:p w14:paraId="67B0BFB1" w14:textId="7777777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1.99-1.00</w:t>
      </w:r>
      <w:r w:rsidRPr="0071668D">
        <w:rPr>
          <w:rFonts w:asciiTheme="majorHAnsi" w:hAnsiTheme="majorHAnsi" w:cstheme="majorHAnsi"/>
          <w:color w:val="2F5496" w:themeColor="accent1" w:themeShade="BF"/>
          <w:sz w:val="32"/>
          <w:szCs w:val="32"/>
        </w:rPr>
        <w:tab/>
        <w:t>8</w:t>
      </w:r>
    </w:p>
    <w:p w14:paraId="02B6CAA3" w14:textId="7777777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0.99-0.01</w:t>
      </w:r>
      <w:r w:rsidRPr="0071668D">
        <w:rPr>
          <w:rFonts w:asciiTheme="majorHAnsi" w:hAnsiTheme="majorHAnsi" w:cstheme="majorHAnsi"/>
          <w:color w:val="2F5496" w:themeColor="accent1" w:themeShade="BF"/>
          <w:sz w:val="32"/>
          <w:szCs w:val="32"/>
        </w:rPr>
        <w:tab/>
        <w:t>5</w:t>
      </w:r>
    </w:p>
    <w:p w14:paraId="398880D1" w14:textId="3BB56BA7" w:rsidR="003F69F0" w:rsidRPr="0071668D" w:rsidRDefault="003F69F0" w:rsidP="003F69F0">
      <w:pPr>
        <w:spacing w:after="120"/>
        <w:rPr>
          <w:rFonts w:asciiTheme="majorHAnsi" w:hAnsiTheme="majorHAnsi" w:cstheme="majorHAnsi"/>
          <w:color w:val="2F5496" w:themeColor="accent1" w:themeShade="BF"/>
          <w:sz w:val="32"/>
          <w:szCs w:val="32"/>
        </w:rPr>
      </w:pPr>
      <w:r w:rsidRPr="0071668D">
        <w:rPr>
          <w:rFonts w:asciiTheme="majorHAnsi" w:hAnsiTheme="majorHAnsi" w:cstheme="majorHAnsi"/>
          <w:color w:val="2F5496" w:themeColor="accent1" w:themeShade="BF"/>
          <w:sz w:val="32"/>
          <w:szCs w:val="32"/>
        </w:rPr>
        <w:t>WD/Drop/Fail</w:t>
      </w:r>
      <w:r w:rsidRPr="0071668D">
        <w:rPr>
          <w:rFonts w:asciiTheme="majorHAnsi" w:hAnsiTheme="majorHAnsi" w:cstheme="majorHAnsi"/>
          <w:color w:val="2F5496" w:themeColor="accent1" w:themeShade="BF"/>
          <w:sz w:val="32"/>
          <w:szCs w:val="32"/>
        </w:rPr>
        <w:tab/>
        <w:t>18</w:t>
      </w:r>
    </w:p>
    <w:p w14:paraId="39EFB7CA" w14:textId="3C6A9D38" w:rsidR="003F69F0" w:rsidRPr="0071668D" w:rsidRDefault="003F69F0" w:rsidP="003F69F0">
      <w:pPr>
        <w:spacing w:after="120"/>
        <w:rPr>
          <w:rFonts w:asciiTheme="majorHAnsi" w:hAnsiTheme="majorHAnsi" w:cstheme="majorHAnsi"/>
          <w:color w:val="2F5496" w:themeColor="accent1" w:themeShade="BF"/>
          <w:sz w:val="32"/>
          <w:szCs w:val="32"/>
        </w:rPr>
      </w:pPr>
    </w:p>
    <w:p w14:paraId="611E4934" w14:textId="65023379" w:rsidR="003F69F0" w:rsidRPr="0071668D" w:rsidRDefault="003F69F0" w:rsidP="003F69F0">
      <w:pPr>
        <w:spacing w:after="120"/>
        <w:rPr>
          <w:rFonts w:asciiTheme="majorHAnsi" w:hAnsiTheme="majorHAnsi" w:cstheme="majorHAnsi"/>
          <w:color w:val="2F5496" w:themeColor="accent1" w:themeShade="BF"/>
          <w:sz w:val="32"/>
          <w:szCs w:val="32"/>
        </w:rPr>
      </w:pPr>
      <w:r w:rsidRPr="00DC5F1B">
        <w:rPr>
          <w:rFonts w:asciiTheme="majorHAnsi" w:hAnsiTheme="majorHAnsi" w:cstheme="majorHAnsi"/>
          <w:b/>
          <w:color w:val="2F5496" w:themeColor="accent1" w:themeShade="BF"/>
          <w:sz w:val="32"/>
          <w:szCs w:val="32"/>
        </w:rPr>
        <w:t>Retention:</w:t>
      </w:r>
      <w:r w:rsidRPr="0071668D">
        <w:rPr>
          <w:rFonts w:asciiTheme="majorHAnsi" w:hAnsiTheme="majorHAnsi" w:cstheme="majorHAnsi"/>
          <w:color w:val="2F5496" w:themeColor="accent1" w:themeShade="BF"/>
          <w:sz w:val="32"/>
          <w:szCs w:val="32"/>
        </w:rPr>
        <w:t xml:space="preserve">  70% of the students who were enrolled Fall 2019 enrolled for Spring 2020. This </w:t>
      </w:r>
      <w:r w:rsidR="0071668D" w:rsidRPr="0071668D">
        <w:rPr>
          <w:rFonts w:asciiTheme="majorHAnsi" w:hAnsiTheme="majorHAnsi" w:cstheme="majorHAnsi"/>
          <w:color w:val="2F5496" w:themeColor="accent1" w:themeShade="BF"/>
          <w:sz w:val="32"/>
          <w:szCs w:val="32"/>
        </w:rPr>
        <w:t xml:space="preserve">is </w:t>
      </w:r>
      <w:r w:rsidRPr="0071668D">
        <w:rPr>
          <w:rFonts w:asciiTheme="majorHAnsi" w:hAnsiTheme="majorHAnsi" w:cstheme="majorHAnsi"/>
          <w:color w:val="2F5496" w:themeColor="accent1" w:themeShade="BF"/>
          <w:sz w:val="32"/>
          <w:szCs w:val="32"/>
        </w:rPr>
        <w:t>a high percentage when compared with the institutional percentage of students who are retained from Fall to Spring.</w:t>
      </w:r>
    </w:p>
    <w:p w14:paraId="3F133B6B" w14:textId="61B21448" w:rsidR="003F69F0" w:rsidRPr="0071668D" w:rsidRDefault="003F69F0" w:rsidP="003F69F0">
      <w:pPr>
        <w:spacing w:after="120"/>
        <w:rPr>
          <w:rFonts w:asciiTheme="majorHAnsi" w:hAnsiTheme="majorHAnsi" w:cstheme="majorHAnsi"/>
          <w:color w:val="2F5496" w:themeColor="accent1" w:themeShade="BF"/>
          <w:sz w:val="32"/>
          <w:szCs w:val="32"/>
        </w:rPr>
      </w:pPr>
    </w:p>
    <w:p w14:paraId="07C104C6" w14:textId="5CFE9E7B" w:rsidR="003F69F0" w:rsidRPr="0071668D" w:rsidRDefault="003F69F0" w:rsidP="003F69F0">
      <w:pPr>
        <w:spacing w:after="120"/>
        <w:rPr>
          <w:rFonts w:asciiTheme="majorHAnsi" w:hAnsiTheme="majorHAnsi" w:cstheme="majorHAnsi"/>
          <w:color w:val="2F5496" w:themeColor="accent1" w:themeShade="BF"/>
          <w:sz w:val="32"/>
          <w:szCs w:val="32"/>
        </w:rPr>
      </w:pPr>
      <w:r w:rsidRPr="00DC5F1B">
        <w:rPr>
          <w:rFonts w:asciiTheme="majorHAnsi" w:hAnsiTheme="majorHAnsi" w:cstheme="majorHAnsi"/>
          <w:b/>
          <w:color w:val="2F5496" w:themeColor="accent1" w:themeShade="BF"/>
          <w:sz w:val="32"/>
          <w:szCs w:val="32"/>
        </w:rPr>
        <w:t>Success:</w:t>
      </w:r>
      <w:r w:rsidRPr="0071668D">
        <w:rPr>
          <w:rFonts w:asciiTheme="majorHAnsi" w:hAnsiTheme="majorHAnsi" w:cstheme="majorHAnsi"/>
          <w:color w:val="2F5496" w:themeColor="accent1" w:themeShade="BF"/>
          <w:sz w:val="32"/>
          <w:szCs w:val="32"/>
        </w:rPr>
        <w:t xml:space="preserve">  Of the 202 students who enrolled Spring 2020, 82% had a grade point average of over 2.00, with 24% receiving a 4.00 GPA and a little over 50% maintaining a GPA above 3.00. Only </w:t>
      </w:r>
      <w:r w:rsidR="0071668D" w:rsidRPr="0071668D">
        <w:rPr>
          <w:rFonts w:asciiTheme="majorHAnsi" w:hAnsiTheme="majorHAnsi" w:cstheme="majorHAnsi"/>
          <w:color w:val="2F5496" w:themeColor="accent1" w:themeShade="BF"/>
          <w:sz w:val="32"/>
          <w:szCs w:val="32"/>
        </w:rPr>
        <w:t>9% fail</w:t>
      </w:r>
      <w:r w:rsidR="00DC5F1B">
        <w:rPr>
          <w:rFonts w:asciiTheme="majorHAnsi" w:hAnsiTheme="majorHAnsi" w:cstheme="majorHAnsi"/>
          <w:color w:val="2F5496" w:themeColor="accent1" w:themeShade="BF"/>
          <w:sz w:val="32"/>
          <w:szCs w:val="32"/>
        </w:rPr>
        <w:t>ed</w:t>
      </w:r>
      <w:r w:rsidR="0071668D" w:rsidRPr="0071668D">
        <w:rPr>
          <w:rFonts w:asciiTheme="majorHAnsi" w:hAnsiTheme="majorHAnsi" w:cstheme="majorHAnsi"/>
          <w:color w:val="2F5496" w:themeColor="accent1" w:themeShade="BF"/>
          <w:sz w:val="32"/>
          <w:szCs w:val="32"/>
        </w:rPr>
        <w:t xml:space="preserve"> to complete any classes during Spring Semester.</w:t>
      </w:r>
    </w:p>
    <w:p w14:paraId="07F7ED6E" w14:textId="77777777" w:rsidR="00B62AE4" w:rsidRPr="00B62AE4" w:rsidRDefault="00B62AE4" w:rsidP="00B62AE4"/>
    <w:p w14:paraId="4D5C5852" w14:textId="703DA62A" w:rsidR="00B62AE4" w:rsidRDefault="00B62AE4" w:rsidP="00B62AE4">
      <w:pPr>
        <w:pStyle w:val="Heading1"/>
      </w:pPr>
      <w:r w:rsidRPr="00DC5F1B">
        <w:rPr>
          <w:b/>
        </w:rPr>
        <w:t>Action Plan</w:t>
      </w:r>
      <w:r w:rsidR="0071668D" w:rsidRPr="00DC5F1B">
        <w:rPr>
          <w:b/>
        </w:rPr>
        <w:t>:</w:t>
      </w:r>
      <w:r w:rsidR="0071668D">
        <w:t xml:space="preserve">  It appears that the use of tuition waivers for middle income students is effective. Students are retained at a higher level than other students and gr</w:t>
      </w:r>
      <w:r w:rsidR="00DC5F1B">
        <w:t>a</w:t>
      </w:r>
      <w:r w:rsidR="0071668D">
        <w:t xml:space="preserve">de point averages are high. It doesn’t appear that there is much difference between those students who received the waiver through the application process or through the random selection. It is the recommendation of the Office of Financial Aid &amp; Scholarships that this tuition waiver be continued. </w:t>
      </w:r>
    </w:p>
    <w:p w14:paraId="6AB526F1" w14:textId="77777777" w:rsidR="00B62AE4" w:rsidRPr="00B62AE4" w:rsidRDefault="00B62AE4" w:rsidP="00B62AE4"/>
    <w:p w14:paraId="42A3CDA2" w14:textId="77777777" w:rsidR="00B62AE4" w:rsidRPr="00DC5F1B" w:rsidRDefault="00B62AE4" w:rsidP="00B62AE4">
      <w:pPr>
        <w:pStyle w:val="Heading1"/>
        <w:rPr>
          <w:b/>
        </w:rPr>
      </w:pPr>
      <w:r w:rsidRPr="00DC5F1B">
        <w:rPr>
          <w:b/>
        </w:rPr>
        <w:t>Other Notes</w:t>
      </w:r>
    </w:p>
    <w:p w14:paraId="211490C7" w14:textId="77777777" w:rsidR="004D4A26" w:rsidRPr="004D4A26" w:rsidRDefault="004D4A26" w:rsidP="004D4A26"/>
    <w:sectPr w:rsidR="004D4A26" w:rsidRPr="004D4A26" w:rsidSect="004143C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9031" w14:textId="77777777" w:rsidR="00AB6D1A" w:rsidRDefault="00AB6D1A" w:rsidP="004D4A26">
      <w:pPr>
        <w:spacing w:after="0" w:line="240" w:lineRule="auto"/>
      </w:pPr>
      <w:r>
        <w:separator/>
      </w:r>
    </w:p>
  </w:endnote>
  <w:endnote w:type="continuationSeparator" w:id="0">
    <w:p w14:paraId="12B5EA16" w14:textId="77777777" w:rsidR="00AB6D1A" w:rsidRDefault="00AB6D1A"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D317" w14:textId="77777777" w:rsidR="004D4A26" w:rsidRDefault="004D4A26">
    <w:pPr>
      <w:pStyle w:val="Footer"/>
    </w:pPr>
    <w:r>
      <w:t xml:space="preserve">Due to Senior Director of Planning &amp; Implementation by </w:t>
    </w:r>
    <w:r w:rsidR="00F76B04">
      <w:t>July 1</w:t>
    </w:r>
    <w:r>
      <w:t>, 20</w:t>
    </w:r>
    <w:r w:rsidR="008C6BC7">
      <w:t>20</w:t>
    </w:r>
  </w:p>
  <w:p w14:paraId="119DBBE7"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5714F" w14:textId="77777777" w:rsidR="00AB6D1A" w:rsidRDefault="00AB6D1A" w:rsidP="004D4A26">
      <w:pPr>
        <w:spacing w:after="0" w:line="240" w:lineRule="auto"/>
      </w:pPr>
      <w:r>
        <w:separator/>
      </w:r>
    </w:p>
  </w:footnote>
  <w:footnote w:type="continuationSeparator" w:id="0">
    <w:p w14:paraId="1F7AFE63" w14:textId="77777777" w:rsidR="00AB6D1A" w:rsidRDefault="00AB6D1A" w:rsidP="004D4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10224E"/>
    <w:rsid w:val="00257E19"/>
    <w:rsid w:val="002F07DC"/>
    <w:rsid w:val="003F69F0"/>
    <w:rsid w:val="004143C3"/>
    <w:rsid w:val="004A5F90"/>
    <w:rsid w:val="004D4A26"/>
    <w:rsid w:val="004D4EB9"/>
    <w:rsid w:val="006B63F2"/>
    <w:rsid w:val="006C1249"/>
    <w:rsid w:val="006E735A"/>
    <w:rsid w:val="0071668D"/>
    <w:rsid w:val="007444B8"/>
    <w:rsid w:val="007E4788"/>
    <w:rsid w:val="008071B2"/>
    <w:rsid w:val="0085739D"/>
    <w:rsid w:val="0089213A"/>
    <w:rsid w:val="008B0AEE"/>
    <w:rsid w:val="008C6BC7"/>
    <w:rsid w:val="00986D52"/>
    <w:rsid w:val="00992604"/>
    <w:rsid w:val="00AB6D1A"/>
    <w:rsid w:val="00B62AE4"/>
    <w:rsid w:val="00B808D4"/>
    <w:rsid w:val="00BA70FC"/>
    <w:rsid w:val="00BC08E9"/>
    <w:rsid w:val="00BE2B2F"/>
    <w:rsid w:val="00CC62C2"/>
    <w:rsid w:val="00D35FB5"/>
    <w:rsid w:val="00DC5F1B"/>
    <w:rsid w:val="00DD6188"/>
    <w:rsid w:val="00DE499D"/>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FA12"/>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A4F73-6228-4249-B596-052958A1498B}"/>
</file>

<file path=customXml/itemProps2.xml><?xml version="1.0" encoding="utf-8"?>
<ds:datastoreItem xmlns:ds="http://schemas.openxmlformats.org/officeDocument/2006/customXml" ds:itemID="{05EB4241-9552-4C9F-A6C1-54A917765A35}"/>
</file>

<file path=customXml/itemProps3.xml><?xml version="1.0" encoding="utf-8"?>
<ds:datastoreItem xmlns:ds="http://schemas.openxmlformats.org/officeDocument/2006/customXml" ds:itemID="{1B91EE04-BAE4-4E90-B082-DE91AF3A0C71}"/>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2020-07-01T22:27:00Z</dcterms:created>
  <dcterms:modified xsi:type="dcterms:W3CDTF">2020-07-01T22:27:00Z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